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201.59999999999997" w:line="276" w:lineRule="auto"/>
        <w:ind w:left="-24.000000000000057" w:right="5664.000000000001" w:firstLine="0"/>
        <w:jc w:val="left"/>
        <w:rPr>
          <w:rFonts w:ascii="Arial" w:cs="Arial" w:eastAsia="Arial" w:hAnsi="Arial"/>
          <w:b w:val="0"/>
          <w:i w:val="0"/>
          <w:smallCaps w:val="0"/>
          <w:strike w:val="0"/>
          <w:color w:val="2e74b5"/>
          <w:sz w:val="31.920000076293945"/>
          <w:szCs w:val="31.920000076293945"/>
          <w:u w:val="none"/>
          <w:shd w:fill="auto" w:val="clear"/>
          <w:vertAlign w:val="baseline"/>
        </w:rPr>
      </w:pPr>
      <w:r w:rsidDel="00000000" w:rsidR="00000000" w:rsidRPr="00000000">
        <w:rPr>
          <w:rFonts w:ascii="Arial" w:cs="Arial" w:eastAsia="Arial" w:hAnsi="Arial"/>
          <w:b w:val="0"/>
          <w:i w:val="0"/>
          <w:smallCaps w:val="0"/>
          <w:strike w:val="0"/>
          <w:color w:val="2e74b5"/>
          <w:sz w:val="31.920000076293945"/>
          <w:szCs w:val="31.920000076293945"/>
          <w:u w:val="none"/>
          <w:shd w:fill="auto" w:val="clear"/>
          <w:vertAlign w:val="baseline"/>
          <w:rtl w:val="0"/>
        </w:rPr>
        <w:t xml:space="preserve">Nemet, frowe, disen kranz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552" w:line="276" w:lineRule="auto"/>
        <w:ind w:left="-24.000000000000057" w:right="33.60000000000127"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ÜBERLIEFERUNG: 1 (L, 74,20): 134A, 262[280]C, 51E. 2 (L 75,9): 135A, 263[281]C, 52E. 3 (L 74,28): 136A, 264[282]C, 53E. 4 (L 75,17): 138A, 373[389]C. 5 (L 75,1): 137A, 372[388]C, 54E. Die Folge der Strophen 1-3 ist in allen Handschriften identisch, Strophe 4 ist in E nicht überliefert, in C stehen Strophe 4 und 5 getrennt von den anderen, aber in gleicher Reihenfolge wie in A. Die Umstellung der beiden Strophen erfolgt aus inhaltlichen Gründen. Text nach C.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225.6" w:line="276" w:lineRule="auto"/>
        <w:ind w:left="-24.000000000000057" w:right="2443.2000000000007"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FORM: Achtzeilige Stollenstrophe (Grundschema: 3a6b 3a6b,</w:t>
      </w:r>
      <w:r w:rsidDel="00000000" w:rsidR="00000000" w:rsidRPr="00000000">
        <w:rPr>
          <w:sz w:val="22.079999923706055"/>
          <w:szCs w:val="22.079999923706055"/>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4c’3d’d’4c’).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24.000000000000057" w:right="-4.80000000000018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ERLÄUTERUNGEN: Zentrales Problem der Forschung ist die Ordnung der Strophen in diesem Lied, vor allem die Stellung von Strophe 2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Frowe, ir sît sô wolgetân</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Grund dafür ist, daß der Sprecher dem Mädchen bereits in Strophe 1 einen Kranz anbietet und dies in Strophe 2, was als unlogisch oder als überflüssige Wiederholung erschien, erneut tut. Die „Crux mit den zwei Kränzen“ (Wapnewski) wurde daher auf verschiedene Weise zu lösen versucht. So verband Kraus mit der Umstellung der Strophen 2 und 3 die Annahme, daß in der so hergestellten Folge die dritte Strophe den Übergang auf eine neue Ebene einleite, den Übergang von einer Wach- in eine Traumwelt. Später folgte er dem zunächst von ihm abgelehnten Vorschlag, die Strophe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Frowe, ir sît sô wolgetân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als Frauenstrophe zu lesen. So ergab sich die (auch von Wapnewski angenommene) Folge: 1. Kranzangebot des Mannes, 2. Annahme des Kranzes durch das Mädchen, 3. Kranzangebot des Mädchens.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24.000000000000057" w:right="57.5999999999999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Wenn auch die Eliminierung eines Taktes im ersten Vers der Strophe wegen metrischer Überfüllung vertretbar erscheint, so bleibt die damit begründete Auslassung von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frowe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und die Umdeutung der Strophe 2 gegen die gesamte Überlieferung in eine Frauenstrophe problematisch. Vor allem im Blick auf die erotische Bedeutung der Kranzmetapher ist die Vorstellung eines gegenseitigen Kranzgeschenks zumindest ungewöhnlich. Zwar ist es eine gängige Vorstellung, daß ein Mädchen ‚ihren Kranz‘ verschenkt, aber daß die Aufforderung zum ‚Blumenbrechen‘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deflorare</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dem Mädchen zugewiesen wird, ist wegen der geschlechtsspezifischen Prägung der Metapher eher selten (vgl. z.B. Reinmar, Nr. 154,4,5f.).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225.6" w:line="276" w:lineRule="auto"/>
        <w:ind w:left="-24.000000000000057" w:right="153.60000000000127"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Es ist im übrigen fraglich, ob von einer ‚Wiederholung‘ überhaupt gesprochen werden kann oder ob nicht besser von einer ‚Wiederaufnahme‘ des Kranzangebots im Sinne einer auf dem Prinzip der Steigerung basierenden Entfaltungstechnik die Rede sein sollte, die in sich durchaus schlüssig ist. Wenn der Sprecher der Tänzerin seinen ‚Kranz‘ zunächst mit den Worten offeriert, er würde ihr am liebsten eine mit Edelsteinen besetzte Krone schenken (Strophe 1), so wird dies dann durch den Hinweis erläutert, daß er ihr, da er eine Krone nun einmal nicht besitzt, wenigstens den schönsten Kranz schenken will, über den er verfügt (Strophe 2). Erst die Wiederaufnahme des Kranzangebots wird, mit der Evokation des traditionellen Lustortes und der Aufforderung, Blumen pflücken zu gehen, zum Anlaß, die erotische Bedeutung der Kranz-Metapher voll zu entfalten. Damit wird ein Verstehensmodus eröffnet, durch den die Annahme des Kranzangebots (in Strophe 3) als Annahme einer sexuellen Offerte entschlüsselt werden kann, ohne daß dies ausdrücklich gesagt werden muß.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24.000000000000057" w:right="62.40000000000009"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Ein weiteres Problem wirft die ‚Traumstrophe‘ (Strophe 4) auf, die in E nicht überliefert ist und die in den übrigen Handschriften an letzter Stelle steht. Nach der Stellung in der Überlieferung hat die ‚Traumstrophe‘ den Charakter einer nachgeschobenen Erinnerung an das Liebesglück, das nun überraschend als ein nur im Traum erlebtes Glück ausgewiesen wird. Inhaltlich aber schließt die ‚Traumstrophe‘ sich an Strophe 3 an, indem die dort nur angedeutete sexuelle Erfahrung auf metaphorische Ebene (Fall der Blumen) explizit gestaltet wird. Deshalb ist die Strophe hier, wie in anderen Ausgaben auch, gegen die Überlieferung, in der sich möglicherweise eine variable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4.000000000000057" w:right="115.1999999999998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Aufführungspraxis spiegelt (Hahn), umgestellt. Die letzte Strophe greift so mit der Situation des Tanzlieds wieder auf den Anfang zurück. Damit entsteht ein geschlossener thematischer Rahmen, in welchen die ‚Traumstrophe‘ integriert ist.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24.000000000000057" w:right="9.60000000000036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In der Forschung ist verschiedentlich die Auffassung vertreten worden, daß bei diesem Lied, das den sogenannten ‚Mädchenliedern‘ zugeordnet wird, die Gattung der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Pastourelle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Modell gestanden habe, die Walther vermutlich aus der mittellateinischen Lyrik kannte (vgl. auch das ‚Lindenlied‘, Nr. 160). Allerdings hat Walther den ständischen Gegensatz, der für die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Pastourelle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konstitutiv ist (ein Ritter oder Kleriker begegnet einer Hirtin), neutralisiert. Der soziale Status des männlichen Ichs bleibt ebenso unbestimmt wie der der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maget</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kennzeichnend für beide ist lediglich, daß sie nicht vermögend, daß sie ‚arm‘ sind.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24.000000000000057" w:right="24.0000000000009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Umstritten ist, wie diese Umdeutung des Pastourellenschemas zu werten ist und welche Signifikanz das Lied im Blick auf den Liebesdiskurs der Zeit hat. Wapnewski vertritt die Auffassung, daß Walther für eine Aufhebung der Standesgrenzen bei ‚echter‘ Liebe plädiert und damit seinem Protest gegen den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Hohen Sang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Ausdruck verleiht, während Hahn der Meinung ist, daß in diesem Lied die Werte der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Hohen Minne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nicht preisgegeben werden. Das vorrangige Interesse Walthers hat, wie in anderen erotischen Liedern, vielleicht aber gerade darin bestanden, die Erfahrung von Sexualität darzustellen und sie jenseits der Dichotomie von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Hoher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und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Niederer Minne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als etwas Positives auszuweisen. Die kunstvollen Formen der Vermittlung, die Walther einsetzt, um das Unsagbare sagbar zu machen (Verwendung von Metaphern, Darstellung des Vorgangs als etwas Vergangenes, als einen Traum), stützen eine solche These, während sich die Anbindung an den Diskurs über die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Hohe Minne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auf den formalen Gestus ‚höfischen‘ Sprechens beschränkt.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225.6" w:line="276" w:lineRule="auto"/>
        <w:ind w:left="-24.000000000000057" w:right="316.80000000000064"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1,1f.] Kränze erscheinen als Requisiten beim Tanz auch in der Lyrik Neidharts. Daß Männer Kränze trugen, wird durch Eilhart von Oberge, hg. v.F. Lichtenstein, Straßburg und London 1877, V. 9062, und Parzival 776,6f. bestätigt.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24.000000000000057" w:right="6600.0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1,2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getânen]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AE,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getaner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24.000000000000057" w:right="7185.60000000000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1,6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iur]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ir CE,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vwer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225.6" w:line="276" w:lineRule="auto"/>
        <w:ind w:left="-24.000000000000057" w:right="5683.20000000000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2,2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schapel]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tschapel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schappel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24.000000000000057" w:right="825.600000000000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2,6:7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springent:singent]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entsprvngen:svngen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AC. Der Kontext verlangt die Präsensformen.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24.000000000000057" w:right="48.0000000000018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3,2] Die unterschiedlichen Übersetzungen zeigen, wie unsicher die Deutung von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êre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an dieser Stelle ist, vgl. z.B. „ganz so, wie es ein edles Fräulein tut“ (Maurer,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Walther</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„Wie ein junges Mädchen, das wohlerzogen ist“ (Wapnewski,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Walther</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„wie ein Mädchen, das geehrt wird“ (Kuhn,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Minnelieder Walthers</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S. 99). Der Kontext legt allerdings die Annahme nahe, daß hier das (jungfräuliche) Schamgefühl des Mädchens gemeint ist. Die soziale und moralische Bedeutungskomponente von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êre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dürfte im Zusammenhang mit der Annahme des ‚Kranzes‘ jedenfalls keine besondere Rolle spielen. Zu rechnen ist auch mit einem kontrastiven Bezug auf das Thema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wîbes êre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in einigen Frauenliedern Reinmars.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24.000000000000057" w:right="3345.600000000000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3,4] Der Vergleich mit Lilie und Rose ist topisch, vgl. Nr. 209,1,7.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24.000000000000057" w:right="7824.0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4,1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nie] ie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AC.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225.6" w:line="276" w:lineRule="auto"/>
        <w:ind w:left="-24.000000000000057" w:right="7435.2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4,3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vielen] vieln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24.000000000000057" w:right="6825.60000000000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4,5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muoste]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müeste C</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225.6" w:line="276" w:lineRule="auto"/>
        <w:ind w:left="-24.000000000000057" w:right="3211.2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4,8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muos] mvoz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muoze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 Der Kontext verlangt das Präteritum.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4.000000000000057" w:right="4248.0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4,8] Zum Motiv ‚Liebesglück im Traum‘ vgl. → Traum.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24.000000000000057" w:right="5596.8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5,1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von ir geschehen] geschen.von ir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24.000000000000057" w:right="796.800000000000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5,5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gêt]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Der höfische Tanz wurde bloß getreten oder gegangen, der Reigen war dagegen von lebhafter Bewegung; er wurde im Freien unter der Linde gesprungen.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24.000000000000057" w:right="6590.4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VARIANTE: 3,8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wirt] wart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24.000000000000057" w:right="-9.59999999999809"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LITERATUR: Peter Wapnewski</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 Walthers Lied von der Traumliebe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(74,20) und die deutschsprachige Pastourelle, Euph. 51 (1957), S. 113-150, wieder in: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Waz ist minne</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S. 109-154. Wolfgang Mohr,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Vortragsform und Form als Symbol im mittelalterlichen Liede</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in: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Festgabe U. Pretzel</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hg. v. W. Simon u. a., Berlin 1963, S. 128-138. Harold B. Willson,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Nemt, vrowe, disen kranz</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Medium Aevum 34 (1965), S. 189-202. Ulrich Pretzel,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Zu Walthers Mädchenliedern</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in: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Festschrift H. de Boor</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Tübingen 1966, S. 38-43. Gerhard Hahn,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Walther von der Vogelweide</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Nemt vrowe, disen kranz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(74,20), in: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Interpretationen mittelhochdeutscher Lyrik</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Bad Homburg, Berlin und Zürich 1969, S. 205-226. Sabine Brinkmann,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Die deutschsprachige Pastourelle</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13. Bis 16. Jahrhundert</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Göppingen 1985 (GAG 307), S. 177-193.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676.8000000000001" w:line="276" w:lineRule="auto"/>
        <w:ind w:left="-24.000000000000057" w:right="7996.8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Auszug aus: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24.000000000000057" w:right="28.80000000000109"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Kasten, Ingrid (Hg.): Deutsche Lyrik des frühen und hohen Mittelalters. Edition der Texte u. Kommentar v. Ingrid Kasten, Übersetzungen v. Margherita Kuhn. Frankfurt am Main 1995 (Bibliothek des Mittelalters; 3). S. 961-965. [=Kommentar zum Kranzlied] </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