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01.59999999999997" w:line="276" w:lineRule="auto"/>
        <w:ind w:left="-24.000000000000057" w:right="5664.000000000001" w:firstLine="0"/>
        <w:jc w:val="left"/>
        <w:rPr>
          <w:rFonts w:ascii="Arial" w:cs="Arial" w:eastAsia="Arial" w:hAnsi="Arial"/>
          <w:b w:val="0"/>
          <w:i w:val="0"/>
          <w:smallCaps w:val="0"/>
          <w:strike w:val="0"/>
          <w:color w:val="2e74b5"/>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2e74b5"/>
          <w:sz w:val="31.920000076293945"/>
          <w:szCs w:val="31.920000076293945"/>
          <w:u w:val="none"/>
          <w:shd w:fill="auto" w:val="clear"/>
          <w:vertAlign w:val="baseline"/>
          <w:rtl w:val="0"/>
        </w:rPr>
        <w:t xml:space="preserve">Nemet, frowe, disen kranz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52" w:line="276" w:lineRule="auto"/>
        <w:ind w:left="-24.000000000000057" w:right="33.600000000001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ÜBERLIEFERUNG: 1 (L, 74,20): 134A, 262[280]C, 51E. 2 (L 75,9): 135A, 263[281]C, 52E. 3 (L 74,28): 136A, 264[282]C, 53E. 4 (L 75,17): 138A, 373[389]C. 5 (L 75,1): 137A, 372[388]C, 54E. Die Folge der Strophen 1-3 ist in allen Handschriften identisch, Strophe 4 ist in E nicht überliefert, in C stehen Strophe 4 und 5 getrennt von den anderen, aber in gleicher Reihenfolge wie in A. Die Umstellung der beiden Strophen erfolgt aus inhaltlichen Gründen. Text nach C.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244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FORM: Achtzeilige Stollenstrophe (Grundschema: 3a6b 3a6b,</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4c’3d’d’4c’).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ERLÄUTERUNGEN: Zentrales Problem der Forschung ist die Ordnung der Strophen in diesem Lied, vor allem die Stellung von Strophe 2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Frowe, ir sît sô wolgetân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Grund dafür ist, daß der Sprecher dem Mädchen bereits in Strophe 1 einen Kranz anbietet und dies in Strophe 2, was als unlogisch oder als überflüssige Wiederholung erschien, erneut tut. Die „Crux mit den zwei Kränzen“ (Wapnewski) wurde daher auf verschiedene Weise zu lösen versucht. So verband Kraus mit der Umstellung der Strophen 2 und 3 die Annahme, daß in der so hergestellten Folge die dritte Strophe den Übergang auf eine neue Ebene einleite, den Übergang von einer Wach- in eine Traumwelt. Später folgte er dem zunächst von ihm abgelehnten Vorschlag, die Strophe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Frowe, ir sît sô wolgetân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als Frauenstrophe zu lesen. So ergab sich die (auch von Wapnewski angenommene) Folge: 1. Kranzangebot des Mannes, 2. Annahme des Kranzes durch das Mädchen, 3. Kranzangebot des Mädchens.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Wenn auch die Eliminierung eines Taktes im ersten Vers der Strophe wegen metrischer Überfüllung vertretbar erscheint, so bleibt die damit begründete Auslassung von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frowe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 die Umdeutung der Strophe 2 gegen die gesamte Überlieferung in eine Frauenstrophe problematisch. Vor allem im Blick auf die erotische Bedeutung der Kranzmetapher ist die Vorstellung eines gegenseitigen Kranzgeschenks zumindest ungewöhnlich. Zwar ist es eine gängige Vorstellung, daß ein Mädchen ‚ihren Kranz‘ verschenkt, aber daß die Aufforderung zum ‚Blumenbrechen‘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deflorare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dem Mädchen zugewiesen wird, ist wegen der geschlechtsspezifischen Prägung der Metapher eher selten (vgl. z.B. Reinmar, Nr. 154,4,5f.).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153.600000000001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 ist im übrigen fraglich, ob von einer ‚Wiederholung‘ überhaupt gesprochen werden kann oder ob nicht besser von einer ‚Wiederaufnahme‘ des Kranzangebots im Sinne einer auf dem Prinzip der Steigerung basierenden Entfaltungstechnik die Rede sein sollte, die in sich durchaus schlüssig ist. Wenn der Sprecher der Tänzerin seinen ‚Kranz‘ zunächst mit den Worten offeriert, er würde ihr am liebsten eine mit Edelsteinen besetzte Krone schenken (Strophe 1), so wird dies dann durch den Hinweis erläutert, daß er ihr, da er eine Krone nun einmal nicht besitzt, wenigstens den schönsten Kranz schenken will, über den er verfügt (Strophe 2). Erst die Wiederaufnahme des Kranzangebots wird, mit der Evokation des traditionellen Lustortes und der Aufforderung, Blumen pflücken zu gehen, zum Anlaß, die erotische Bedeutung der Kranz-Metapher voll zu entfalten. Damit wird ein Verstehensmodus eröffnet, durch den die Annahme des Kranzangebots (in Strophe 3) als Annahme einer sexuellen Offerte entschlüsselt werden kann, ohne daß dies ausdrücklich gesagt werden muß.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62.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Ein weiteres Problem wirft die ‚Traumstrophe‘ (Strophe 4) auf, die in E nicht überliefert ist und die in den übrigen Handschriften an letzter Stelle steht. Nach der Stellung in der Überlieferung hat die ‚Traumstrophe‘ den Charakter einer nachgeschobenen Erinnerung an das Liebesglück, das nun überraschend als ein nur im Traum erlebtes Glück ausgewiesen wird. Inhaltlich aber schließt die ‚Traumstrophe‘ sich an Strophe 3 an, indem die dort nur angedeutete sexuelle Erfahrung auf metaphorische Ebene (Fall der Blumen) explizit gestaltet wird. Deshalb ist die Strophe hier, wie in anderen Ausgaben auch, gegen die Überlieferung, in der sich möglicherweise eine variable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115.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Aufführungspraxis spiegelt (Hahn), umgestellt. Die letzte Strophe greift so mit der Situation des Tanzlieds wieder auf den Anfang zurück. Damit entsteht ein geschlossener thematischer Rahmen, in welchen die ‚Traumstrophe‘ integriert ist.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der Forschung ist verschiedentlich die Auffassung vertreten worden, daß bei diesem Lied, das den sogenannten ‚Mädchenliedern‘ zugeordnet wird, die Gattung 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Pastourelle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Modell gestanden habe, die Walther vermutlich aus der mittellateinischen Lyrik kannte (vgl. auch das ‚Lindenlied‘, Nr. 160). Allerdings hat Walther den ständischen Gegensatz, der für die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Pastourelle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konstitutiv ist (ein Ritter oder Kleriker begegnet einer Hirtin), neutralisiert. Der soziale Status des männlichen Ichs bleibt ebenso unbestimmt wie der 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maget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kennzeichnend für beide ist lediglich, daß sie nicht vermögend, daß sie ‚arm‘ sind.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24.000000000000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Umstritten ist, wie diese Umdeutung des Pastourellenschemas zu werten ist und welche Signifikanz das Lied im Blick auf den Liebesdiskurs der Zeit hat. Wapnewski vertritt die Auffassung, daß Walther für eine Aufhebung der Standesgrenzen bei ‚echter‘ Liebe plädiert und damit seinem Protest gegen den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Hohen Sang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Ausdruck verleiht, während Hahn der Meinung ist, daß in diesem Lied die Werte 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Hohen Minne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nicht preisgegeben werden. Das vorrangige Interesse Walthers hat, wie in anderen erotischen Liedern, vielleicht aber gerade darin bestanden, die Erfahrung von Sexualität darzustellen und sie jenseits der Dichotomie von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Hoher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Niederer Minne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als etwas Positives auszuweisen. Die kunstvollen Formen der Vermittlung, die Walther einsetzt, um das Unsagbare sagbar zu machen (Verwendung von Metaphern, Darstellung des Vorgangs als etwas Vergangenes, als einen Traum), stützen eine solche These, während sich die Anbindung an den Diskurs über die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Hohe Minne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auf den formalen Gestus ‚höfischen‘ Sprechens beschränkt.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316.800000000000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1,1f.] Kränze erscheinen als Requisiten beim Tanz auch in der Lyrik Neidharts. Daß Männer Kränze trugen, wird durch Eilhart von Oberge, hg. v.F. Lichtenstein, Straßburg und London 1877, V. 9062, und Parzival 776,6f. bestätigt.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660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getânen]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getaner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7185.6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iur]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ir 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vwer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5683.2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schapel]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tschapel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schappel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825.600000000000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2,6:7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springent:singent]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entsprvngen:svngen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 Der Kontext verlangt die Präsensformen.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Die unterschiedlichen Übersetzungen zeigen, wie unsicher die Deutung von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êre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 dieser Stelle ist, vgl. z.B. „ganz so, wie es ein edles Fräulein tut“ (Maurer,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Walther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„Wie ein junges Mädchen, das wohlerzogen ist“ (Wapnewski,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Walther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„wie ein Mädchen, das geehrt wird“ (Kuhn,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Minnelieder Walthers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 99). Der Kontext legt allerdings die Annahme nahe, daß hier das (jungfräuliche) Schamgefühl des Mädchens gemeint ist. Die soziale und moralische Bedeutungskomponente von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êre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dürfte im Zusammenhang mit der Annahme des ‚Kranzes‘ jedenfalls keine besondere Rolle spielen. Zu rechnen ist auch mit einem kontrastiven Bezug auf das Thema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wîbes êre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einigen Frauenliedern Reinmars.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3345.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Der Vergleich mit Lilie und Rose ist topisch, vgl. Nr. 209,1,7.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78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nie] ie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7435.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4,3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vielen] vieln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4.000000000000057" w:right="6825.6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4,5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muoste]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müeste 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24.000000000000057" w:right="3211.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4,8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muos] mvoz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muoze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Der Kontext verlangt das Präteritum.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4248.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4,8] Zum Motiv ‚Liebesglück im Traum‘ vgl. → Traum.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5596.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von ir geschehen] geschen.von ir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796.800000000000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5,5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gêt]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Der höfische Tanz wurde bloß getreten oder gegangen, der Reigen war dagegen von lebhafter Bewegung; er wurde im Freien unter der Linde gesprungen.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6590.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VARIANTE: 3,8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wirt] wart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9.599999999998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LITERATUR: Peter Wapnewski</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Walthers Lied von der Traumliebe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(74,20) und die deutschsprachige Pastourelle, Euph. 51 (1957), S. 113-150, wieder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Waz ist minne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 109-154. Wolfgang Mohr,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Vortragsform und Form als Symbol im mittelalterlichen Liede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Festgabe U. Pretzel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hg. v. W. Simon u. a., Berlin 1963, S. 128-138. Harold B. Willson,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Nemt, vrowe, disen kranz</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Medium Aevum 34 (1965), S. 189-202. Ulrich Pretzel,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Zu Walthers Mädchenliedern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Festschrift H. de Boor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Tübingen 1966, S. 38-43. Gerhard Hahn,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Walther von der Vogelweide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Nemt vrowe, disen kranz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(74,20),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Interpretationen mittelhochdeutscher Lyrik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Bad Homburg, Berlin und Zürich 1969, S. 205-226. Sabine Brinkmann,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Die deutschsprachige Pastourelle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Bis 16. Jahrhundert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Göppingen 1985 (GAG 307), S. 177-193.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24.000000000000057" w:right="7996.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Auszug aus: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4.000000000000057" w:right="28.800000000001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Kasten, Ingrid (Hg.): Deutsche Lyrik des frühen und hohen Mittelalters. Edition der Texte u. Kommentar v. Ingrid Kasten, Übersetzungen v. Margherita Kuhn. Frankfurt am Main 1995 (Bibliothek des Mittelalters; 3). S. 961-965. [=Kommentar zum Kranzlied]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